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120"/>
        <w:jc w:val="center"/>
      </w:pPr>
      <w:bookmarkStart w:id="1" w:name="block-12424150"/>
      <w:r>
        <w:drawing>
          <wp:inline>
            <wp:extent cx="5940425" cy="830853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3085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264" w:lineRule="auto"/>
        <w:ind w:firstLine="0" w:left="120"/>
        <w:jc w:val="both"/>
      </w:pPr>
      <w:bookmarkStart w:id="2" w:name="block-12424151"/>
      <w:bookmarkEnd w:id="1"/>
    </w:p>
    <w:p w14:paraId="0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ПОЯСНИТЕЛЬНАЯ ЗАПИСКА</w:t>
      </w:r>
    </w:p>
    <w:p w14:paraId="04000000">
      <w:pPr>
        <w:spacing w:after="0" w:line="264" w:lineRule="auto"/>
        <w:ind w:firstLine="0" w:left="120"/>
        <w:jc w:val="both"/>
      </w:pPr>
    </w:p>
    <w:p w14:paraId="0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r>
        <w:rPr>
          <w:rFonts w:ascii="Times New Roman" w:hAnsi="Times New Roman"/>
          <w:color w:val="000000"/>
          <w:sz w:val="28"/>
        </w:rPr>
        <w:t>обучающихся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06000000">
      <w:pPr>
        <w:spacing w:after="0" w:line="264" w:lineRule="auto"/>
        <w:ind w:firstLine="0" w:left="120"/>
        <w:jc w:val="both"/>
      </w:pPr>
    </w:p>
    <w:p w14:paraId="07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ЦЕЛИ ИЗУЧЕНИЯ УЧЕБНОГО КУРСА</w:t>
      </w:r>
    </w:p>
    <w:p w14:paraId="08000000">
      <w:pPr>
        <w:spacing w:after="0" w:line="264" w:lineRule="auto"/>
        <w:ind w:firstLine="0" w:left="120"/>
        <w:jc w:val="both"/>
      </w:pPr>
    </w:p>
    <w:p w14:paraId="0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</w:t>
      </w:r>
      <w:r>
        <w:rPr>
          <w:rFonts w:ascii="Times New Roman" w:hAnsi="Times New Roman"/>
          <w:color w:val="000000"/>
          <w:sz w:val="28"/>
        </w:rPr>
        <w:t>значимости</w:t>
      </w:r>
      <w:r>
        <w:rPr>
          <w:rFonts w:ascii="Times New Roman" w:hAnsi="Times New Roman"/>
          <w:color w:val="000000"/>
          <w:sz w:val="28"/>
        </w:rPr>
        <w:t xml:space="preserve"> и общности математических методов познания как неотъемлемой части современного </w:t>
      </w:r>
      <w:r>
        <w:rPr>
          <w:rFonts w:ascii="Times New Roman" w:hAnsi="Times New Roman"/>
          <w:color w:val="000000"/>
          <w:sz w:val="28"/>
        </w:rPr>
        <w:t>естественно-научного</w:t>
      </w:r>
      <w:r>
        <w:rPr>
          <w:rFonts w:ascii="Times New Roman" w:hAnsi="Times New Roman"/>
          <w:color w:val="000000"/>
          <w:sz w:val="28"/>
        </w:rPr>
        <w:t xml:space="preserve"> мировоззрения.</w:t>
      </w:r>
    </w:p>
    <w:p w14:paraId="0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14:paraId="0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14:paraId="0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14:paraId="0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>
        <w:rPr>
          <w:rFonts w:ascii="Times New Roman" w:hAnsi="Times New Roman"/>
          <w:color w:val="000000"/>
          <w:sz w:val="28"/>
        </w:rPr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14:paraId="0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</w:t>
      </w:r>
      <w:r>
        <w:rPr>
          <w:rFonts w:ascii="Times New Roman" w:hAnsi="Times New Roman"/>
          <w:color w:val="000000"/>
          <w:sz w:val="28"/>
        </w:rPr>
        <w:t>ств пр</w:t>
      </w:r>
      <w:r>
        <w:rPr>
          <w:rFonts w:ascii="Times New Roman" w:hAnsi="Times New Roman"/>
          <w:color w:val="000000"/>
          <w:sz w:val="28"/>
        </w:rPr>
        <w:t xml:space="preserve">именяемых фактов. </w:t>
      </w:r>
    </w:p>
    <w:p w14:paraId="0F000000">
      <w:pPr>
        <w:spacing w:after="0" w:line="264" w:lineRule="auto"/>
        <w:ind w:firstLine="0" w:left="120"/>
        <w:jc w:val="both"/>
      </w:pPr>
    </w:p>
    <w:p w14:paraId="10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МЕСТО КУРСА В УЧЕБНОМ ПЛАНЕ</w:t>
      </w:r>
    </w:p>
    <w:p w14:paraId="11000000">
      <w:pPr>
        <w:spacing w:after="0" w:line="264" w:lineRule="auto"/>
        <w:ind w:firstLine="0" w:left="120"/>
        <w:jc w:val="both"/>
      </w:pPr>
    </w:p>
    <w:p w14:paraId="12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14:paraId="13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14000000">
      <w:pPr>
        <w:spacing w:after="0"/>
        <w:ind w:firstLine="0" w:left="120"/>
      </w:pPr>
      <w:bookmarkStart w:id="3" w:name="block-12424156"/>
      <w:bookmarkEnd w:id="2"/>
      <w:r>
        <w:rPr>
          <w:rFonts w:ascii="Times New Roman" w:hAnsi="Times New Roman"/>
          <w:b w:val="1"/>
          <w:color w:val="000000"/>
          <w:sz w:val="28"/>
        </w:rPr>
        <w:t>СОДЕРЖАНИЕ УЧЕБНОГО КУРСА</w:t>
      </w:r>
    </w:p>
    <w:p w14:paraId="15000000">
      <w:pPr>
        <w:spacing w:after="0"/>
        <w:ind w:firstLine="0" w:left="120"/>
      </w:pPr>
    </w:p>
    <w:p w14:paraId="16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10 КЛАСС</w:t>
      </w:r>
    </w:p>
    <w:p w14:paraId="17000000">
      <w:pPr>
        <w:spacing w:after="0"/>
        <w:ind w:firstLine="0" w:left="120"/>
        <w:jc w:val="both"/>
      </w:pPr>
    </w:p>
    <w:p w14:paraId="18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14:paraId="19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14:paraId="1A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Операции над событиями: пересечение, объединение, противоположные события. </w:t>
      </w:r>
      <w:r>
        <w:rPr>
          <w:rFonts w:ascii="Times New Roman" w:hAnsi="Times New Roman"/>
          <w:color w:val="000000"/>
          <w:sz w:val="28"/>
        </w:rPr>
        <w:t xml:space="preserve">Диаграммы Эйлера. Формула сложения вероятностей. </w:t>
      </w:r>
    </w:p>
    <w:p w14:paraId="1B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14:paraId="1C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14:paraId="1D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14:paraId="1E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Случайная величина. Распределение вероятностей. Диаграмма распределения. Примеры распределений, в том числе, </w:t>
      </w:r>
      <w:r>
        <w:rPr>
          <w:rFonts w:ascii="Times New Roman" w:hAnsi="Times New Roman"/>
          <w:color w:val="000000"/>
          <w:sz w:val="28"/>
        </w:rPr>
        <w:t>геометрическое</w:t>
      </w:r>
      <w:r>
        <w:rPr>
          <w:rFonts w:ascii="Times New Roman" w:hAnsi="Times New Roman"/>
          <w:color w:val="000000"/>
          <w:sz w:val="28"/>
        </w:rPr>
        <w:t xml:space="preserve"> и биномиальное. </w:t>
      </w:r>
    </w:p>
    <w:p w14:paraId="1F000000">
      <w:pPr>
        <w:spacing w:after="0"/>
        <w:ind w:firstLine="0" w:left="120"/>
        <w:jc w:val="both"/>
      </w:pPr>
    </w:p>
    <w:p w14:paraId="20000000">
      <w:pPr>
        <w:spacing w:after="0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11 КЛАСС</w:t>
      </w:r>
    </w:p>
    <w:p w14:paraId="21000000">
      <w:pPr>
        <w:spacing w:after="0"/>
        <w:ind w:firstLine="0" w:left="120"/>
        <w:jc w:val="both"/>
      </w:pPr>
    </w:p>
    <w:p w14:paraId="22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14:paraId="23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Закон больших чисел и его роль в науке, природе и обществе. Выборочный метод исследований.</w:t>
      </w:r>
    </w:p>
    <w:p w14:paraId="24000000">
      <w:pPr>
        <w:spacing w:after="0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14:paraId="25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26000000">
      <w:pPr>
        <w:spacing w:after="0" w:line="264" w:lineRule="auto"/>
        <w:ind w:firstLine="0" w:left="120"/>
        <w:jc w:val="both"/>
      </w:pPr>
      <w:bookmarkStart w:id="4" w:name="block-12424155"/>
      <w:bookmarkEnd w:id="3"/>
      <w:r>
        <w:rPr>
          <w:rFonts w:ascii="Times New Roman" w:hAnsi="Times New Roman"/>
          <w:b w:val="1"/>
          <w:color w:val="000000"/>
          <w:sz w:val="28"/>
        </w:rPr>
        <w:t xml:space="preserve">ПЛАНИРУЕМЫЕ РЕЗУЛЬТАТЫ </w:t>
      </w:r>
    </w:p>
    <w:p w14:paraId="27000000">
      <w:pPr>
        <w:spacing w:after="0" w:line="264" w:lineRule="auto"/>
        <w:ind w:firstLine="0" w:left="120"/>
        <w:jc w:val="both"/>
      </w:pPr>
    </w:p>
    <w:p w14:paraId="28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</w:t>
      </w:r>
    </w:p>
    <w:p w14:paraId="29000000">
      <w:pPr>
        <w:spacing w:after="0" w:line="264" w:lineRule="auto"/>
        <w:ind w:firstLine="0" w:left="120"/>
        <w:jc w:val="both"/>
      </w:pPr>
    </w:p>
    <w:p w14:paraId="2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14:paraId="2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Гражданское воспитание:</w:t>
      </w:r>
    </w:p>
    <w:p w14:paraId="2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2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Патриотическое воспитание:</w:t>
      </w:r>
    </w:p>
    <w:p w14:paraId="2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2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Духовно-нравственного воспитания:</w:t>
      </w:r>
    </w:p>
    <w:p w14:paraId="3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3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Эстетическое воспитание:</w:t>
      </w:r>
    </w:p>
    <w:p w14:paraId="3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3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Физическое воспитание:</w:t>
      </w:r>
    </w:p>
    <w:p w14:paraId="3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3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Трудовое воспитание:</w:t>
      </w:r>
    </w:p>
    <w:p w14:paraId="3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>
        <w:rPr>
          <w:rFonts w:ascii="Times New Roman" w:hAnsi="Times New Roman"/>
          <w:color w:val="000000"/>
          <w:sz w:val="28"/>
        </w:rPr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3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Экологическое воспитание:</w:t>
      </w:r>
    </w:p>
    <w:p w14:paraId="3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3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Ценности научного познания:</w:t>
      </w:r>
      <w:r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14:paraId="3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3B000000">
      <w:pPr>
        <w:spacing w:after="0" w:line="264" w:lineRule="auto"/>
        <w:ind w:firstLine="0" w:left="120"/>
        <w:jc w:val="both"/>
      </w:pPr>
    </w:p>
    <w:p w14:paraId="3C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</w:p>
    <w:p w14:paraId="3D000000">
      <w:pPr>
        <w:spacing w:after="0" w:line="264" w:lineRule="auto"/>
        <w:ind w:firstLine="0" w:left="120"/>
        <w:jc w:val="both"/>
      </w:pPr>
    </w:p>
    <w:p w14:paraId="3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Метапредметные</w:t>
      </w:r>
      <w:r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 w:val="1"/>
          <w:i w:val="1"/>
          <w:color w:val="000000"/>
          <w:sz w:val="28"/>
        </w:rPr>
        <w:t>познавательными</w:t>
      </w:r>
      <w:r>
        <w:rPr>
          <w:rFonts w:ascii="Times New Roman" w:hAnsi="Times New Roman"/>
          <w:i w:val="1"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3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i w:val="1"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 w:val="1"/>
          <w:i w:val="1"/>
          <w:color w:val="000000"/>
          <w:sz w:val="28"/>
        </w:rPr>
        <w:t>познавательные</w:t>
      </w:r>
      <w:r>
        <w:rPr>
          <w:rFonts w:ascii="Times New Roman" w:hAnsi="Times New Roman"/>
          <w:i w:val="1"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</w:rPr>
        <w:t>.</w:t>
      </w:r>
    </w:p>
    <w:p w14:paraId="4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логические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действия</w:t>
      </w:r>
      <w:r>
        <w:rPr>
          <w:rFonts w:ascii="Times New Roman" w:hAnsi="Times New Roman"/>
          <w:b w:val="1"/>
          <w:color w:val="000000"/>
          <w:sz w:val="28"/>
        </w:rPr>
        <w:t>:</w:t>
      </w:r>
    </w:p>
    <w:p w14:paraId="41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42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43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>
        <w:rPr>
          <w:rFonts w:ascii="Times New Roman" w:hAnsi="Times New Roman"/>
          <w:color w:val="000000"/>
          <w:sz w:val="28"/>
        </w:rPr>
        <w:t xml:space="preserve">предлагать критерии для выявления закономерностей и противоречий; </w:t>
      </w:r>
    </w:p>
    <w:p w14:paraId="44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5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r>
        <w:rPr>
          <w:rFonts w:ascii="Times New Roman" w:hAnsi="Times New Roman"/>
          <w:color w:val="000000"/>
          <w:sz w:val="28"/>
        </w:rPr>
        <w:t>контрпримеры</w:t>
      </w:r>
      <w:r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14:paraId="46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4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Базовые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исследовательские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действия</w:t>
      </w:r>
      <w:r>
        <w:rPr>
          <w:rFonts w:ascii="Times New Roman" w:hAnsi="Times New Roman"/>
          <w:b w:val="1"/>
          <w:color w:val="000000"/>
          <w:sz w:val="28"/>
        </w:rPr>
        <w:t>:</w:t>
      </w:r>
    </w:p>
    <w:p w14:paraId="48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49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4A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4B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4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Работа</w:t>
      </w:r>
      <w:r>
        <w:rPr>
          <w:rFonts w:ascii="Times New Roman" w:hAnsi="Times New Roman"/>
          <w:b w:val="1"/>
          <w:color w:val="000000"/>
          <w:sz w:val="28"/>
        </w:rPr>
        <w:t xml:space="preserve"> с </w:t>
      </w:r>
      <w:r>
        <w:rPr>
          <w:rFonts w:ascii="Times New Roman" w:hAnsi="Times New Roman"/>
          <w:b w:val="1"/>
          <w:color w:val="000000"/>
          <w:sz w:val="28"/>
        </w:rPr>
        <w:t>информацией</w:t>
      </w:r>
      <w:r>
        <w:rPr>
          <w:rFonts w:ascii="Times New Roman" w:hAnsi="Times New Roman"/>
          <w:b w:val="1"/>
          <w:color w:val="000000"/>
          <w:sz w:val="28"/>
        </w:rPr>
        <w:t>:</w:t>
      </w:r>
    </w:p>
    <w:p w14:paraId="4D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14:paraId="4E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4F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14:paraId="50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14:paraId="5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i w:val="1"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 w:val="1"/>
          <w:i w:val="1"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i w:val="1"/>
          <w:color w:val="000000"/>
          <w:sz w:val="28"/>
        </w:rPr>
        <w:t xml:space="preserve">действия, обеспечивают </w:t>
      </w:r>
      <w:r>
        <w:rPr>
          <w:rFonts w:ascii="Times New Roman" w:hAnsi="Times New Roman"/>
          <w:i w:val="1"/>
          <w:color w:val="000000"/>
          <w:sz w:val="28"/>
        </w:rPr>
        <w:t>сформированность</w:t>
      </w:r>
      <w:r>
        <w:rPr>
          <w:rFonts w:ascii="Times New Roman" w:hAnsi="Times New Roman"/>
          <w:i w:val="1"/>
          <w:color w:val="000000"/>
          <w:sz w:val="28"/>
        </w:rPr>
        <w:t xml:space="preserve"> социальных навыков обучающихся.</w:t>
      </w:r>
    </w:p>
    <w:p w14:paraId="5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Общение</w:t>
      </w:r>
      <w:r>
        <w:rPr>
          <w:rFonts w:ascii="Times New Roman" w:hAnsi="Times New Roman"/>
          <w:b w:val="1"/>
          <w:color w:val="000000"/>
          <w:sz w:val="28"/>
        </w:rPr>
        <w:t>:</w:t>
      </w:r>
    </w:p>
    <w:p w14:paraId="53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54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55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5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Сотрудничество</w:t>
      </w:r>
      <w:r>
        <w:rPr>
          <w:rFonts w:ascii="Times New Roman" w:hAnsi="Times New Roman"/>
          <w:b w:val="1"/>
          <w:color w:val="000000"/>
          <w:sz w:val="28"/>
        </w:rPr>
        <w:t>:</w:t>
      </w:r>
    </w:p>
    <w:p w14:paraId="57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58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5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i w:val="1"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 w:val="1"/>
          <w:i w:val="1"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 w:val="1"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</w:rPr>
        <w:t>.</w:t>
      </w:r>
    </w:p>
    <w:p w14:paraId="5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Самоорганизация:</w:t>
      </w:r>
    </w:p>
    <w:p w14:paraId="5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Самоконтроль</w:t>
      </w:r>
      <w:r>
        <w:rPr>
          <w:rFonts w:ascii="Times New Roman" w:hAnsi="Times New Roman"/>
          <w:b w:val="1"/>
          <w:color w:val="000000"/>
          <w:sz w:val="28"/>
        </w:rPr>
        <w:t>:</w:t>
      </w:r>
    </w:p>
    <w:p w14:paraId="5D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5E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5F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цели и условиям, объяснять причины достижения или </w:t>
      </w:r>
      <w:r>
        <w:rPr>
          <w:rFonts w:ascii="Times New Roman" w:hAnsi="Times New Roman"/>
          <w:color w:val="000000"/>
          <w:sz w:val="28"/>
        </w:rPr>
        <w:t>недостижения</w:t>
      </w:r>
      <w:r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14:paraId="60000000">
      <w:pPr>
        <w:spacing w:after="0" w:line="264" w:lineRule="auto"/>
        <w:ind w:firstLine="0" w:left="120"/>
        <w:jc w:val="both"/>
      </w:pPr>
    </w:p>
    <w:p w14:paraId="61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ПРЕДМЕТНЫЕ РЕЗУЛЬТАТЫ </w:t>
      </w:r>
    </w:p>
    <w:p w14:paraId="62000000">
      <w:pPr>
        <w:spacing w:after="0" w:line="264" w:lineRule="auto"/>
        <w:ind w:firstLine="0" w:left="120"/>
        <w:jc w:val="both"/>
      </w:pPr>
    </w:p>
    <w:p w14:paraId="6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10 КЛАСС</w:t>
      </w:r>
    </w:p>
    <w:p w14:paraId="64000000">
      <w:pPr>
        <w:spacing w:after="0" w:line="264" w:lineRule="auto"/>
        <w:ind w:firstLine="0" w:left="120"/>
        <w:jc w:val="both"/>
      </w:pPr>
    </w:p>
    <w:p w14:paraId="6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Читать и строить таблицы и диаграммы.</w:t>
      </w:r>
    </w:p>
    <w:p w14:paraId="6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14:paraId="6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14:paraId="6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14:paraId="6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14:paraId="6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комбинаторное правило умножения при решении задач. </w:t>
      </w:r>
    </w:p>
    <w:p w14:paraId="6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14:paraId="6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случайная величина, распределение вероятностей, диаграмма распределения. </w:t>
      </w:r>
    </w:p>
    <w:p w14:paraId="6D000000">
      <w:pPr>
        <w:spacing w:after="0" w:line="264" w:lineRule="auto"/>
        <w:ind w:firstLine="0" w:left="120"/>
        <w:jc w:val="both"/>
      </w:pPr>
    </w:p>
    <w:p w14:paraId="6E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11 КЛАСС</w:t>
      </w:r>
    </w:p>
    <w:p w14:paraId="6F000000">
      <w:pPr>
        <w:spacing w:after="0" w:line="264" w:lineRule="auto"/>
        <w:ind w:firstLine="0" w:left="120"/>
        <w:jc w:val="both"/>
      </w:pPr>
    </w:p>
    <w:p w14:paraId="7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Сравнивать вероятности значений случайной величины по распределению или с помощью диаграмм.</w:t>
      </w:r>
    </w:p>
    <w:p w14:paraId="7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14:paraId="7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законе больших чисел.</w:t>
      </w:r>
    </w:p>
    <w:p w14:paraId="7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нормальном распределении.</w:t>
      </w:r>
    </w:p>
    <w:p w14:paraId="74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75000000">
      <w:pPr>
        <w:spacing w:after="0"/>
        <w:ind w:firstLine="0" w:left="120"/>
      </w:pPr>
      <w:bookmarkStart w:id="5" w:name="block-12424152"/>
      <w:bookmarkEnd w:id="4"/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76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10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66"/>
        <w:gridCol w:w="2992"/>
        <w:gridCol w:w="982"/>
        <w:gridCol w:w="1706"/>
        <w:gridCol w:w="1793"/>
        <w:gridCol w:w="2662"/>
      </w:tblGrid>
      <w:tr>
        <w:trPr>
          <w:trHeight w:hRule="atLeast" w:val="144"/>
        </w:trPr>
        <w:tc>
          <w:tcPr>
            <w:tcW w:type="dxa" w:w="46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78000000">
            <w:pPr>
              <w:spacing w:after="0"/>
              <w:ind w:firstLine="0" w:left="135"/>
            </w:pPr>
          </w:p>
        </w:tc>
        <w:tc>
          <w:tcPr>
            <w:tcW w:type="dxa" w:w="299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A000000">
            <w:pPr>
              <w:spacing w:after="0"/>
              <w:ind w:firstLine="0" w:left="135"/>
            </w:pPr>
          </w:p>
        </w:tc>
        <w:tc>
          <w:tcPr>
            <w:tcW w:type="dxa" w:w="448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66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D0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99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7F000000">
            <w:pPr>
              <w:spacing w:after="0"/>
              <w:ind w:firstLine="0" w:left="135"/>
            </w:pP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1000000">
            <w:pPr>
              <w:spacing w:after="0"/>
              <w:ind w:firstLine="0" w:left="135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83000000">
            <w:pPr>
              <w:spacing w:after="0"/>
              <w:ind w:firstLine="0" w:left="135"/>
            </w:pPr>
          </w:p>
        </w:tc>
        <w:tc>
          <w:tcPr>
            <w:tcW w:type="dxa" w:w="266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299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4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8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0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9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66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00000"/>
        </w:tc>
      </w:tr>
    </w:tbl>
    <w:p w14:paraId="B900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BA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11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85"/>
        <w:gridCol w:w="2640"/>
        <w:gridCol w:w="1017"/>
        <w:gridCol w:w="1745"/>
        <w:gridCol w:w="1829"/>
        <w:gridCol w:w="2757"/>
      </w:tblGrid>
      <w:tr>
        <w:trPr>
          <w:trHeight w:hRule="atLeast" w:val="144"/>
        </w:trPr>
        <w:tc>
          <w:tcPr>
            <w:tcW w:type="dxa" w:w="485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BC000000">
            <w:pPr>
              <w:spacing w:after="0"/>
              <w:ind w:firstLine="0" w:left="135"/>
            </w:pPr>
          </w:p>
        </w:tc>
        <w:tc>
          <w:tcPr>
            <w:tcW w:type="dxa" w:w="264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BE000000">
            <w:pPr>
              <w:spacing w:after="0"/>
              <w:ind w:firstLine="0" w:left="135"/>
            </w:pPr>
          </w:p>
        </w:tc>
        <w:tc>
          <w:tcPr>
            <w:tcW w:type="dxa" w:w="459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757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10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85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64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3000000">
            <w:pPr>
              <w:spacing w:after="0"/>
              <w:ind w:firstLine="0" w:left="135"/>
            </w:pP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5000000">
            <w:pPr>
              <w:spacing w:after="0"/>
              <w:ind w:firstLine="0" w:left="135"/>
            </w:pP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C7000000">
            <w:pPr>
              <w:spacing w:after="0"/>
              <w:ind w:firstLine="0" w:left="135"/>
            </w:pPr>
          </w:p>
        </w:tc>
        <w:tc>
          <w:tcPr>
            <w:tcW w:type="dxa" w:w="2757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 случайной величины</w:t>
            </w:r>
          </w:p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7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7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7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8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264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7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125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01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74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82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75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00000"/>
        </w:tc>
      </w:tr>
    </w:tbl>
    <w:p w14:paraId="F100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2000000">
      <w:pPr>
        <w:spacing w:after="0"/>
        <w:ind w:firstLine="0" w:left="120"/>
      </w:pPr>
      <w:bookmarkStart w:id="6" w:name="block-12424153"/>
      <w:bookmarkEnd w:id="5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F3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10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00"/>
        <w:gridCol w:w="2816"/>
        <w:gridCol w:w="869"/>
        <w:gridCol w:w="1573"/>
        <w:gridCol w:w="1669"/>
        <w:gridCol w:w="1189"/>
        <w:gridCol w:w="2021"/>
      </w:tblGrid>
      <w:tr>
        <w:trPr>
          <w:trHeight w:hRule="atLeast" w:val="144"/>
        </w:trPr>
        <w:tc>
          <w:tcPr>
            <w:tcW w:type="dxa" w:w="40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F5000000">
            <w:pPr>
              <w:spacing w:after="0"/>
              <w:ind w:firstLine="0" w:left="135"/>
            </w:pPr>
          </w:p>
        </w:tc>
        <w:tc>
          <w:tcPr>
            <w:tcW w:type="dxa" w:w="281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7000000">
            <w:pPr>
              <w:spacing w:after="0"/>
              <w:ind w:firstLine="0" w:left="135"/>
            </w:pPr>
          </w:p>
        </w:tc>
        <w:tc>
          <w:tcPr>
            <w:tcW w:type="dxa" w:w="411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8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A000000">
            <w:pPr>
              <w:spacing w:after="0"/>
              <w:ind w:firstLine="0" w:left="135"/>
            </w:pPr>
          </w:p>
        </w:tc>
        <w:tc>
          <w:tcPr>
            <w:tcW w:type="dxa" w:w="202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C0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1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E000000">
            <w:pPr>
              <w:spacing w:after="0"/>
              <w:ind w:firstLine="0" w:left="135"/>
            </w:pP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0010000">
            <w:pPr>
              <w:spacing w:after="0"/>
              <w:ind w:firstLine="0" w:left="135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2010000">
            <w:pPr>
              <w:spacing w:after="0"/>
              <w:ind w:firstLine="0" w:left="135"/>
            </w:pPr>
          </w:p>
        </w:tc>
        <w:tc>
          <w:tcPr>
            <w:tcW w:type="dxa" w:w="118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2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с помощью таблиц и диаграмм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Среднее арифметическое, медиана, наибольшее и наименьшее значения, </w:t>
            </w:r>
            <w:r>
              <w:rPr>
                <w:rFonts w:ascii="Times New Roman" w:hAnsi="Times New Roman"/>
                <w:color w:val="000000"/>
                <w:sz w:val="24"/>
              </w:rPr>
              <w:t>размах, дисперсия, стандартное отклонение числовых наборов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события. Практическая работа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Операции над событиями: пересечение,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вероятности. Независимые события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Паскаля. Формула бинома Ньютона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распределений, в том числе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биномиальное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распределений, в том числе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биномиальное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21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321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10000"/>
        </w:tc>
      </w:tr>
    </w:tbl>
    <w:p w14:paraId="F6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7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11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00"/>
        <w:gridCol w:w="2816"/>
        <w:gridCol w:w="869"/>
        <w:gridCol w:w="1573"/>
        <w:gridCol w:w="1669"/>
        <w:gridCol w:w="1189"/>
        <w:gridCol w:w="2021"/>
      </w:tblGrid>
      <w:tr>
        <w:trPr>
          <w:trHeight w:hRule="atLeast" w:val="144"/>
        </w:trPr>
        <w:tc>
          <w:tcPr>
            <w:tcW w:type="dxa" w:w="40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F9010000">
            <w:pPr>
              <w:spacing w:after="0"/>
              <w:ind w:firstLine="0" w:left="135"/>
            </w:pPr>
          </w:p>
        </w:tc>
        <w:tc>
          <w:tcPr>
            <w:tcW w:type="dxa" w:w="281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B010000">
            <w:pPr>
              <w:spacing w:after="0"/>
              <w:ind w:firstLine="0" w:left="135"/>
            </w:pPr>
          </w:p>
        </w:tc>
        <w:tc>
          <w:tcPr>
            <w:tcW w:type="dxa" w:w="4111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89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FE010000">
            <w:pPr>
              <w:spacing w:after="0"/>
              <w:ind w:firstLine="0" w:left="135"/>
            </w:pPr>
          </w:p>
        </w:tc>
        <w:tc>
          <w:tcPr>
            <w:tcW w:type="dxa" w:w="2021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00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0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1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2020000">
            <w:pPr>
              <w:spacing w:after="0"/>
              <w:ind w:firstLine="0" w:left="135"/>
            </w:pP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4020000">
            <w:pPr>
              <w:spacing w:after="0"/>
              <w:ind w:firstLine="0" w:left="135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6020000">
            <w:pPr>
              <w:spacing w:after="0"/>
              <w:ind w:firstLine="0" w:left="135"/>
            </w:pPr>
          </w:p>
        </w:tc>
        <w:tc>
          <w:tcPr>
            <w:tcW w:type="dxa" w:w="1189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021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суммы случайных величин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Дисперсии геометрического и биномиального распределения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чисел. Выборочный метод исследований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непрерывных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с использованием электронных таблиц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Вычисление вероятностей событий с применением формул и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графических методов (координатная прямая, дерево, диаграмма Эйлера)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281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8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 w:firstLine="0" w:left="135"/>
            </w:pPr>
          </w:p>
        </w:tc>
        <w:tc>
          <w:tcPr>
            <w:tcW w:type="dxa" w:w="2021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"https://01math.com/maths/class?class_id=12"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https://01math.com/maths/class?class_id=12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216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type="dxa" w:w="157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6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321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20000"/>
        </w:tc>
      </w:tr>
    </w:tbl>
    <w:p w14:paraId="FA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B020000">
      <w:pPr>
        <w:spacing w:after="0"/>
        <w:ind w:firstLine="0" w:left="120"/>
      </w:pPr>
      <w:bookmarkStart w:id="7" w:name="block-12424154"/>
      <w:bookmarkEnd w:id="6"/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FC02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FD02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8" w:name="8e387745-ecc6-42e5-889f-5fad7789796c"/>
      <w:r>
        <w:rPr>
          <w:rFonts w:ascii="Times New Roman" w:hAnsi="Times New Roman"/>
          <w:color w:val="000000"/>
          <w:sz w:val="28"/>
        </w:rPr>
        <w:t>• Математика: алгебра и начала математического анализа, геометрия. Алгебра и начала математического анализа (в 2 частях), 10-11 классы/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14:paraId="FE02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FF020000">
      <w:pPr>
        <w:spacing w:after="0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0003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0103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291b1642-84ed-4a3d-bfaf-3417254047bf"/>
      <w:r>
        <w:rPr>
          <w:rFonts w:ascii="Times New Roman" w:hAnsi="Times New Roman"/>
          <w:color w:val="000000"/>
          <w:sz w:val="28"/>
        </w:rPr>
        <w:t>Вероятность и статистика. Методические рекомендации.7-9 классы - Каталог издательства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14:paraId="02030000">
      <w:pPr>
        <w:spacing w:after="0"/>
        <w:ind w:firstLine="0" w:left="120"/>
      </w:pPr>
    </w:p>
    <w:p w14:paraId="0303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0403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</w:rPr>
        <w:t>://01</w:t>
      </w:r>
      <w:r>
        <w:rPr>
          <w:rFonts w:ascii="Times New Roman" w:hAnsi="Times New Roman"/>
          <w:color w:val="000000"/>
          <w:sz w:val="28"/>
        </w:rPr>
        <w:t>math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maths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class</w:t>
      </w:r>
      <w:r>
        <w:rPr>
          <w:rFonts w:ascii="Times New Roman" w:hAnsi="Times New Roman"/>
          <w:color w:val="000000"/>
          <w:sz w:val="28"/>
        </w:rPr>
        <w:t>?</w:t>
      </w:r>
      <w:r>
        <w:rPr>
          <w:rFonts w:ascii="Times New Roman" w:hAnsi="Times New Roman"/>
          <w:color w:val="000000"/>
          <w:sz w:val="28"/>
        </w:rPr>
        <w:t>class</w:t>
      </w:r>
      <w:r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id</w:t>
      </w:r>
      <w:r>
        <w:rPr>
          <w:rFonts w:ascii="Times New Roman" w:hAnsi="Times New Roman"/>
          <w:color w:val="000000"/>
          <w:sz w:val="28"/>
        </w:rPr>
        <w:t>=12</w:t>
      </w:r>
      <w:r>
        <w:rPr>
          <w:sz w:val="28"/>
        </w:rPr>
        <w:br/>
      </w:r>
      <w:bookmarkStart w:id="10" w:name="f2786589-4600-475d-a0d8-791ef79f9486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lesson</w:t>
      </w:r>
      <w:r>
        <w:rPr>
          <w:rFonts w:ascii="Times New Roman" w:hAnsi="Times New Roman"/>
          <w:color w:val="000000"/>
          <w:sz w:val="28"/>
        </w:rPr>
        <w:t>/3751/</w:t>
      </w:r>
      <w:r>
        <w:rPr>
          <w:rFonts w:ascii="Times New Roman" w:hAnsi="Times New Roman"/>
          <w:color w:val="000000"/>
          <w:sz w:val="28"/>
        </w:rPr>
        <w:t>conspect</w:t>
      </w:r>
      <w:r>
        <w:rPr>
          <w:rFonts w:ascii="Times New Roman" w:hAnsi="Times New Roman"/>
          <w:color w:val="000000"/>
          <w:sz w:val="28"/>
        </w:rPr>
        <w:t>/</w:t>
      </w:r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End w:id="7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caption"/>
    <w:basedOn w:val="Style_2"/>
    <w:next w:val="Style_2"/>
    <w:link w:val="Style_5_ch"/>
    <w:pPr>
      <w:spacing w:line="240" w:lineRule="auto"/>
      <w:ind/>
    </w:pPr>
    <w:rPr>
      <w:b w:val="1"/>
      <w:color w:themeColor="accent1" w:val="4F81BD"/>
      <w:sz w:val="18"/>
    </w:rPr>
  </w:style>
  <w:style w:styleId="Style_5_ch" w:type="character">
    <w:name w:val="caption"/>
    <w:basedOn w:val="Style_2_ch"/>
    <w:link w:val="Style_5"/>
    <w:rPr>
      <w:b w:val="1"/>
      <w:color w:themeColor="accent1" w:val="4F81BD"/>
      <w:sz w:val="18"/>
    </w:rPr>
  </w:style>
  <w:style w:styleId="Style_6" w:type="paragraph">
    <w:name w:val="Normal Indent"/>
    <w:basedOn w:val="Style_2"/>
    <w:link w:val="Style_6_ch"/>
    <w:pPr>
      <w:ind w:firstLine="0" w:left="720"/>
    </w:pPr>
  </w:style>
  <w:style w:styleId="Style_6_ch" w:type="character">
    <w:name w:val="Normal Indent"/>
    <w:basedOn w:val="Style_2_ch"/>
    <w:link w:val="Style_6"/>
  </w:style>
  <w:style w:styleId="Style_7" w:type="paragraph">
    <w:name w:val="toc 6"/>
    <w:next w:val="Style_2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basedOn w:val="Style_2"/>
    <w:next w:val="Style_2"/>
    <w:link w:val="Style_9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9_ch" w:type="character">
    <w:name w:val="heading 3"/>
    <w:basedOn w:val="Style_2_ch"/>
    <w:link w:val="Style_9"/>
    <w:rPr>
      <w:rFonts w:asciiTheme="majorAscii" w:hAnsiTheme="majorHAnsi"/>
      <w:b w:val="1"/>
      <w:color w:themeColor="accent1" w:val="4F81BD"/>
    </w:rPr>
  </w:style>
  <w:style w:styleId="Style_10" w:type="paragraph">
    <w:name w:val="toc 3"/>
    <w:next w:val="Style_2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basedOn w:val="Style_2"/>
    <w:next w:val="Style_2"/>
    <w:link w:val="Style_12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2_ch" w:type="character">
    <w:name w:val="heading 1"/>
    <w:basedOn w:val="Style_2_ch"/>
    <w:link w:val="Style_12"/>
    <w:rPr>
      <w:rFonts w:asciiTheme="majorAscii" w:hAnsiTheme="majorHAnsi"/>
      <w:b w:val="1"/>
      <w:color w:themeColor="accent1" w:themeShade="BF" w:val="366091"/>
      <w:sz w:val="28"/>
    </w:rPr>
  </w:style>
  <w:style w:styleId="Style_13" w:type="paragraph">
    <w:name w:val="Hyperlink"/>
    <w:basedOn w:val="Style_14"/>
    <w:link w:val="Style_13_ch"/>
    <w:rPr>
      <w:color w:themeColor="hyperlink" w:val="0000FF"/>
      <w:u w:val="single"/>
    </w:rPr>
  </w:style>
  <w:style w:styleId="Style_13_ch" w:type="character">
    <w:name w:val="Hyperlink"/>
    <w:basedOn w:val="Style_14_ch"/>
    <w:link w:val="Style_13"/>
    <w:rPr>
      <w:color w:themeColor="hyperlink"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2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header"/>
    <w:basedOn w:val="Style_2"/>
    <w:link w:val="Style_18_ch"/>
    <w:pPr>
      <w:tabs>
        <w:tab w:leader="none" w:pos="4680" w:val="center"/>
        <w:tab w:leader="none" w:pos="9360" w:val="right"/>
      </w:tabs>
      <w:ind/>
    </w:pPr>
  </w:style>
  <w:style w:styleId="Style_18_ch" w:type="character">
    <w:name w:val="header"/>
    <w:basedOn w:val="Style_2_ch"/>
    <w:link w:val="Style_18"/>
  </w:style>
  <w:style w:styleId="Style_19" w:type="paragraph">
    <w:name w:val="toc 9"/>
    <w:next w:val="Style_2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2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Balloon Text"/>
    <w:basedOn w:val="Style_2"/>
    <w:link w:val="Style_21_ch"/>
    <w:pPr>
      <w:spacing w:after="0" w:line="240" w:lineRule="auto"/>
      <w:ind/>
    </w:pPr>
    <w:rPr>
      <w:rFonts w:ascii="Tahoma" w:hAnsi="Tahoma"/>
      <w:sz w:val="16"/>
    </w:rPr>
  </w:style>
  <w:style w:styleId="Style_21_ch" w:type="character">
    <w:name w:val="Balloon Text"/>
    <w:basedOn w:val="Style_2_ch"/>
    <w:link w:val="Style_21"/>
    <w:rPr>
      <w:rFonts w:ascii="Tahoma" w:hAnsi="Tahoma"/>
      <w:sz w:val="16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22" w:type="paragraph">
    <w:name w:val="toc 5"/>
    <w:next w:val="Style_2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basedOn w:val="Style_2"/>
    <w:next w:val="Style_2"/>
    <w:link w:val="Style_23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3_ch" w:type="character">
    <w:name w:val="Subtitle"/>
    <w:basedOn w:val="Style_2_ch"/>
    <w:link w:val="Style_23"/>
    <w:rPr>
      <w:rFonts w:asciiTheme="majorAscii" w:hAnsiTheme="majorHAnsi"/>
      <w:i w:val="1"/>
      <w:color w:themeColor="accent1" w:val="4F81BD"/>
      <w:spacing w:val="15"/>
      <w:sz w:val="24"/>
    </w:rPr>
  </w:style>
  <w:style w:styleId="Style_24" w:type="paragraph">
    <w:name w:val="Title"/>
    <w:basedOn w:val="Style_2"/>
    <w:next w:val="Style_2"/>
    <w:link w:val="Style_24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4_ch" w:type="character">
    <w:name w:val="Title"/>
    <w:basedOn w:val="Style_2_ch"/>
    <w:link w:val="Style_24"/>
    <w:rPr>
      <w:rFonts w:asciiTheme="majorAscii" w:hAnsiTheme="majorHAnsi"/>
      <w:color w:themeColor="text2" w:themeShade="BF" w:val="17365D"/>
      <w:spacing w:val="5"/>
      <w:sz w:val="52"/>
    </w:rPr>
  </w:style>
  <w:style w:styleId="Style_25" w:type="paragraph">
    <w:name w:val="heading 4"/>
    <w:basedOn w:val="Style_2"/>
    <w:next w:val="Style_2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5_ch" w:type="character">
    <w:name w:val="heading 4"/>
    <w:basedOn w:val="Style_2_ch"/>
    <w:link w:val="Style_25"/>
    <w:rPr>
      <w:rFonts w:asciiTheme="majorAscii" w:hAnsiTheme="majorHAnsi"/>
      <w:b w:val="1"/>
      <w:i w:val="1"/>
      <w:color w:themeColor="accent1" w:val="4F81BD"/>
    </w:rPr>
  </w:style>
  <w:style w:styleId="Style_26" w:type="paragraph">
    <w:name w:val="Emphasis"/>
    <w:basedOn w:val="Style_14"/>
    <w:link w:val="Style_26_ch"/>
    <w:rPr>
      <w:i w:val="1"/>
    </w:rPr>
  </w:style>
  <w:style w:styleId="Style_26_ch" w:type="character">
    <w:name w:val="Emphasis"/>
    <w:basedOn w:val="Style_14_ch"/>
    <w:link w:val="Style_26"/>
    <w:rPr>
      <w:i w:val="1"/>
    </w:rPr>
  </w:style>
  <w:style w:styleId="Style_27" w:type="paragraph">
    <w:name w:val="heading 2"/>
    <w:basedOn w:val="Style_2"/>
    <w:next w:val="Style_2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7_ch" w:type="character">
    <w:name w:val="heading 2"/>
    <w:basedOn w:val="Style_2_ch"/>
    <w:link w:val="Style_27"/>
    <w:rPr>
      <w:rFonts w:asciiTheme="majorAscii" w:hAnsiTheme="majorHAnsi"/>
      <w:b w:val="1"/>
      <w:color w:themeColor="accent1" w:val="4F81BD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2024-09-12T03:08:49Z</dcterms:modified>
</cp:coreProperties>
</file>